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11" w:rsidRDefault="00D92111">
      <w:pPr>
        <w:tabs>
          <w:tab w:val="left" w:pos="9923"/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«Қазақстан Республикасының Стратегиялық жоспарлау және реформалар агенттігі Ұлттық статистика бюросының Қостанай облысы бойынша департаменті» РММ </w:t>
      </w:r>
      <w:r>
        <w:rPr>
          <w:color w:val="000000"/>
          <w:sz w:val="28"/>
          <w:szCs w:val="28"/>
          <w:lang w:val="kk-KZ"/>
        </w:rPr>
        <w:t>басшысының</w:t>
      </w:r>
    </w:p>
    <w:p w:rsidR="00637B11" w:rsidRDefault="00D92111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37B11" w:rsidRDefault="00D92111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1 – қосымша</w:t>
      </w:r>
    </w:p>
    <w:p w:rsidR="00637B11" w:rsidRDefault="00637B11">
      <w:pPr>
        <w:tabs>
          <w:tab w:val="left" w:pos="9540"/>
          <w:tab w:val="right" w:pos="10917"/>
        </w:tabs>
        <w:ind w:left="5812" w:right="23"/>
        <w:rPr>
          <w:sz w:val="28"/>
          <w:szCs w:val="28"/>
          <w:lang w:val="kk-KZ"/>
        </w:rPr>
      </w:pPr>
    </w:p>
    <w:p w:rsidR="00637B11" w:rsidRDefault="00637B11">
      <w:pPr>
        <w:ind w:left="6521"/>
        <w:rPr>
          <w:sz w:val="28"/>
          <w:szCs w:val="28"/>
          <w:lang w:val="kk-KZ"/>
        </w:rPr>
      </w:pPr>
    </w:p>
    <w:p w:rsidR="00637B11" w:rsidRDefault="00637B11">
      <w:pPr>
        <w:ind w:left="5954" w:firstLine="708"/>
        <w:outlineLvl w:val="2"/>
        <w:rPr>
          <w:b/>
          <w:sz w:val="28"/>
          <w:szCs w:val="28"/>
          <w:lang w:val="kk-KZ"/>
        </w:rPr>
      </w:pPr>
    </w:p>
    <w:p w:rsidR="00637B11" w:rsidRDefault="00281CB8">
      <w:pPr>
        <w:ind w:firstLine="709"/>
        <w:jc w:val="center"/>
        <w:outlineLvl w:val="2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«Қазақстан Республикасының С</w:t>
      </w:r>
      <w:r w:rsidR="00D92111">
        <w:rPr>
          <w:b/>
          <w:sz w:val="28"/>
          <w:szCs w:val="28"/>
          <w:lang w:val="kk-KZ"/>
        </w:rPr>
        <w:t xml:space="preserve">тратегиялық жоспарлау және реформалар агенттігі Ұлттық статистика бюросының Қостанай облысы бойынша </w:t>
      </w:r>
      <w:r>
        <w:rPr>
          <w:b/>
          <w:sz w:val="28"/>
          <w:szCs w:val="28"/>
          <w:lang w:val="kk-KZ"/>
        </w:rPr>
        <w:t>департаментінің Интернет-ресурсында</w:t>
      </w:r>
      <w:r w:rsidR="00D92111">
        <w:rPr>
          <w:b/>
          <w:sz w:val="28"/>
          <w:szCs w:val="28"/>
          <w:lang w:val="kk-KZ"/>
        </w:rPr>
        <w:t xml:space="preserve"> интервьюерлердің бос орындарын жариялау үшін хабарландыру </w:t>
      </w:r>
    </w:p>
    <w:p w:rsidR="00637B11" w:rsidRDefault="00637B11">
      <w:pPr>
        <w:ind w:left="567" w:firstLine="142"/>
        <w:jc w:val="center"/>
        <w:outlineLvl w:val="2"/>
        <w:rPr>
          <w:bCs/>
          <w:sz w:val="27"/>
          <w:szCs w:val="27"/>
          <w:lang w:val="kk-KZ"/>
        </w:rPr>
      </w:pPr>
    </w:p>
    <w:p w:rsidR="00637B11" w:rsidRDefault="00281CB8">
      <w:pPr>
        <w:ind w:firstLine="709"/>
        <w:jc w:val="both"/>
        <w:outlineLvl w:val="2"/>
        <w:rPr>
          <w:b/>
          <w:bCs/>
          <w:sz w:val="27"/>
          <w:szCs w:val="27"/>
          <w:lang w:val="kk-KZ"/>
        </w:rPr>
      </w:pPr>
      <w:r w:rsidRPr="00FC7580">
        <w:rPr>
          <w:sz w:val="28"/>
          <w:szCs w:val="28"/>
          <w:lang w:val="kk-KZ"/>
        </w:rPr>
        <w:t xml:space="preserve">«Жұртшылық шаруашылықтарындағы ауыл шаруашылығы дақылдары түсімін жинау туралы» А-005 (үш жылда бір рет) </w:t>
      </w:r>
      <w:r>
        <w:rPr>
          <w:sz w:val="28"/>
          <w:szCs w:val="28"/>
          <w:lang w:val="kk-KZ"/>
        </w:rPr>
        <w:t xml:space="preserve">және </w:t>
      </w:r>
      <w:r w:rsidRPr="00FC7580">
        <w:rPr>
          <w:sz w:val="28"/>
          <w:szCs w:val="28"/>
          <w:lang w:val="kk-KZ"/>
        </w:rPr>
        <w:t>«Ауыл шаруашылығы дақылдары түсімін жинау тур</w:t>
      </w:r>
      <w:r>
        <w:rPr>
          <w:sz w:val="28"/>
          <w:szCs w:val="28"/>
          <w:lang w:val="kk-KZ"/>
        </w:rPr>
        <w:t>алы» 29-сх (жылына бір рет)</w:t>
      </w:r>
      <w:r w:rsidRPr="00FC7580">
        <w:rPr>
          <w:sz w:val="28"/>
          <w:szCs w:val="28"/>
          <w:lang w:val="kk-KZ"/>
        </w:rPr>
        <w:t xml:space="preserve"> статистикалық байқау</w:t>
      </w:r>
      <w:r>
        <w:rPr>
          <w:sz w:val="28"/>
          <w:szCs w:val="28"/>
          <w:lang w:val="kk-KZ"/>
        </w:rPr>
        <w:t>лары бойынша</w:t>
      </w:r>
      <w:r w:rsidR="00D92111">
        <w:rPr>
          <w:sz w:val="28"/>
          <w:szCs w:val="28"/>
          <w:lang w:val="kk-KZ"/>
        </w:rPr>
        <w:t xml:space="preserve"> ақылы қызмет көрсету шарттары бойынша интервьюерлердің бос орындары</w:t>
      </w:r>
      <w:r>
        <w:rPr>
          <w:lang w:val="kk-KZ"/>
        </w:rPr>
        <w:t>.</w:t>
      </w:r>
    </w:p>
    <w:p w:rsidR="00281CB8" w:rsidRDefault="00281CB8" w:rsidP="00281CB8">
      <w:pPr>
        <w:outlineLvl w:val="2"/>
        <w:rPr>
          <w:b/>
          <w:bCs/>
          <w:sz w:val="27"/>
          <w:szCs w:val="27"/>
          <w:lang w:val="kk-KZ"/>
        </w:rPr>
      </w:pPr>
    </w:p>
    <w:tbl>
      <w:tblPr>
        <w:tblW w:w="5065" w:type="pct"/>
        <w:jc w:val="center"/>
        <w:tblCellSpacing w:w="0" w:type="dxa"/>
        <w:tblInd w:w="-690" w:type="dxa"/>
        <w:tblBorders>
          <w:top w:val="outset" w:sz="6" w:space="0" w:color="A6A6A6" w:themeColor="background1" w:themeShade="A6"/>
          <w:left w:val="outset" w:sz="6" w:space="0" w:color="A6A6A6" w:themeColor="background1" w:themeShade="A6"/>
          <w:bottom w:val="outset" w:sz="6" w:space="0" w:color="A6A6A6" w:themeColor="background1" w:themeShade="A6"/>
          <w:right w:val="outset" w:sz="6" w:space="0" w:color="A6A6A6" w:themeColor="background1" w:themeShade="A6"/>
          <w:insideH w:val="outset" w:sz="6" w:space="0" w:color="A6A6A6" w:themeColor="background1" w:themeShade="A6"/>
          <w:insideV w:val="outset" w:sz="6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4"/>
        <w:gridCol w:w="2402"/>
        <w:gridCol w:w="1479"/>
        <w:gridCol w:w="1843"/>
        <w:gridCol w:w="3480"/>
      </w:tblGrid>
      <w:tr w:rsidR="00637B11">
        <w:trPr>
          <w:tblCellSpacing w:w="0" w:type="dxa"/>
          <w:jc w:val="center"/>
        </w:trPr>
        <w:tc>
          <w:tcPr>
            <w:tcW w:w="369" w:type="pct"/>
            <w:vAlign w:val="center"/>
            <w:hideMark/>
          </w:tcPr>
          <w:p w:rsidR="00637B11" w:rsidRDefault="00D92111">
            <w:pPr>
              <w:ind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№ </w:t>
            </w:r>
            <w:r>
              <w:rPr>
                <w:b/>
                <w:sz w:val="26"/>
                <w:szCs w:val="26"/>
                <w:lang w:val="kk-KZ"/>
              </w:rPr>
              <w:br/>
              <w:t>р/с</w:t>
            </w:r>
          </w:p>
        </w:tc>
        <w:tc>
          <w:tcPr>
            <w:tcW w:w="1208" w:type="pct"/>
            <w:vAlign w:val="center"/>
            <w:hideMark/>
          </w:tcPr>
          <w:p w:rsidR="00637B11" w:rsidRDefault="00D92111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 xml:space="preserve">Өңірдің атауы, </w:t>
            </w:r>
          </w:p>
          <w:p w:rsidR="00637B11" w:rsidRDefault="00D92111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бос орындар саны</w:t>
            </w:r>
          </w:p>
        </w:tc>
        <w:tc>
          <w:tcPr>
            <w:tcW w:w="744" w:type="pct"/>
            <w:vAlign w:val="center"/>
          </w:tcPr>
          <w:p w:rsidR="00637B11" w:rsidRDefault="00D92111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Қызмет көрсету мерзімі</w:t>
            </w:r>
          </w:p>
        </w:tc>
        <w:tc>
          <w:tcPr>
            <w:tcW w:w="927" w:type="pct"/>
            <w:vAlign w:val="center"/>
            <w:hideMark/>
          </w:tcPr>
          <w:p w:rsidR="00637B11" w:rsidRDefault="00D92111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Білімі</w:t>
            </w:r>
          </w:p>
        </w:tc>
        <w:tc>
          <w:tcPr>
            <w:tcW w:w="1751" w:type="pct"/>
            <w:vAlign w:val="center"/>
            <w:hideMark/>
          </w:tcPr>
          <w:p w:rsidR="00637B11" w:rsidRDefault="00D92111">
            <w:pPr>
              <w:ind w:left="57" w:firstLine="142"/>
              <w:jc w:val="center"/>
              <w:rPr>
                <w:b/>
                <w:sz w:val="26"/>
                <w:szCs w:val="26"/>
                <w:lang w:val="kk-KZ"/>
              </w:rPr>
            </w:pPr>
            <w:r>
              <w:rPr>
                <w:b/>
                <w:sz w:val="26"/>
                <w:szCs w:val="26"/>
                <w:lang w:val="kk-KZ"/>
              </w:rPr>
              <w:t>Міндеттері</w:t>
            </w:r>
          </w:p>
        </w:tc>
      </w:tr>
      <w:tr w:rsidR="00637B11">
        <w:trPr>
          <w:trHeight w:val="3062"/>
          <w:tblCellSpacing w:w="0" w:type="dxa"/>
          <w:jc w:val="center"/>
        </w:trPr>
        <w:tc>
          <w:tcPr>
            <w:tcW w:w="369" w:type="pct"/>
            <w:hideMark/>
          </w:tcPr>
          <w:p w:rsidR="00637B11" w:rsidRDefault="00D92111">
            <w:pPr>
              <w:ind w:firstLine="142"/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</w:t>
            </w:r>
          </w:p>
        </w:tc>
        <w:tc>
          <w:tcPr>
            <w:tcW w:w="1208" w:type="pct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18"/>
            </w:tblGrid>
            <w:tr w:rsidR="00D92111" w:rsidTr="00D92111">
              <w:tc>
                <w:tcPr>
                  <w:tcW w:w="25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останай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қ.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Ар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қ қ.ә.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Лисаков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 xml:space="preserve"> қ.ә.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Рудный қ.ә.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Алтынсарин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0" allowOverlap="1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005840" cy="0"/>
                            <wp:effectExtent l="3175" t="635" r="635" b="0"/>
                            <wp:wrapNone/>
                            <wp:docPr id="2" name="Прямая соединительная линия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5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9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OVUfwIAAAIFAAAOAAAAZHJzL2Uyb0RvYy54bWysVM2O0zAQviPxDpbvaX5Iu0206YptGi4L&#10;rLTLA7iJ00QkdmS7TSuEBJyR+gi8AgeQVlrgGdI3Yuz+0C4XBORgjWc8M998M5Pzi2VdoQUVsuQs&#10;wm7PwYiylGclm0X41W1iDTGSirCMVJzRCK+oxBejx4/O2yakHi94lVGBIAiTYdtEuFCqCW1bpgWt&#10;iezxhjIw5lzURMFVzOxMkBai15XtOc7AbrnIGsFTKiVo460Rj0z8PKepepnnkipURRiwKXMKc071&#10;aY/OSTgTpCnKdAeD/AWKmpQMkh5CxUQRNBflb6HqMhVc8lz1Ul7bPM/LlJoaoBrXeVDNTUEaamoB&#10;cmRzoEn+v7Dpi8W1QGUWYQ8jRmpoUfdp826z7r51nzdrtHnf/ei+dl+6u+57d7f5APL95iPI2tjd&#10;79Rr5Gkm20aGEHDMroXmIl2ym+aKp68lYnxcEDajpqLbVQNpXO1hn7joi2wAz7R9zjN4Q+aKG1qX&#10;uah1SCAMLU33Vofu0aVCKShdx+kPfWhyurfZJNw7NkKqZ5TXSAsRrkqmiSUhWVxJpYGQcP9EqxlP&#10;yqoyw1GxEwU83GogLbhqmwZgev0mcILJcDL0Ld8bTCzfiWPraTL2rUHinvXjJ/F4HLtvdV7XD4sy&#10;yyjTafZz5/p/1tfdBmwn5jB5B8j2aXRTG0B8gNT1fOfSC6xkMDyz/MTvW8GZM7QcN7gMBo4f+HFy&#10;ivQKKPt3pKiNcND3+oZ8yasy0wxobFLMpuNKoAXRq2o+MyFgOX4m+JxlpjEFJdlkJytSVlv5qHqN&#10;+Ff10Lh9y8zU6UHbjuyUZ6trsZ9GWDTjtPsp6E0+voN8/Osa/QQAAP//AwBQSwMEFAAGAAgAAAAh&#10;ALmn64HdAAAACAEAAA8AAABkcnMvZG93bnJldi54bWxMj8FOwzAQRO9I/IO1SNyoU6pCmsapEAg4&#10;cGqLVHHbxtskNF5Htpukf48rDnDcmdHsm3w1mlb05HxjWcF0koAgLq1uuFLwuX29S0H4gKyxtUwK&#10;zuRhVVxf5ZhpO/Ca+k2oRCxhn6GCOoQuk9KXNRn0E9sRR+9gncEQT1dJ7XCI5aaV90nyIA02HD/U&#10;2NFzTeVxczIK/MtxZ7+/hve0X7gtfZx35ePbTKnbm/FpCSLQGP7CcMGP6FBEpr09sfaiVTBL5jEZ&#10;9fkUxMVP0wWI/a8gi1z+H1D8AAAA//8DAFBLAQItABQABgAIAAAAIQC2gziS/gAAAOEBAAATAAAA&#10;AAAAAAAAAAAAAAAAAABbQ29udGVudF9UeXBlc10ueG1sUEsBAi0AFAAGAAgAAAAhADj9If/WAAAA&#10;lAEAAAsAAAAAAAAAAAAAAAAALwEAAF9yZWxzLy5yZWxzUEsBAi0AFAAGAAgAAAAhADEA5VR/AgAA&#10;AgUAAA4AAAAAAAAAAAAAAAAALgIAAGRycy9lMm9Eb2MueG1sUEsBAi0AFAAGAAgAAAAhALmn64Hd&#10;AAAACAEAAA8AAAAAAAAAAAAAAAAA2QQAAGRycy9kb3ducmV2LnhtbFBLBQYAAAAABAAEAPMAAADj&#10;BQAAAAA=&#10;" o:allowincell="f" stroked="f"/>
                        </w:pict>
                      </mc:Fallback>
                    </mc:AlternateContent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0" allowOverlap="1">
                            <wp:simplePos x="0" y="0"/>
                            <wp:positionH relativeFrom="column">
                              <wp:posOffset>193675</wp:posOffset>
                            </wp:positionH>
                            <wp:positionV relativeFrom="paragraph">
                              <wp:posOffset>95885</wp:posOffset>
                            </wp:positionV>
                            <wp:extent cx="1005840" cy="0"/>
                            <wp:effectExtent l="3175" t="635" r="635" b="0"/>
                            <wp:wrapNone/>
                            <wp:docPr id="1" name="Прямая соединительная линия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0058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5pt,7.55pt" to="94.4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gTfwIAAAIFAAAOAAAAZHJzL2Uyb0RvYy54bWysVN1u0zAUvkfiHazcZ0lK2jXR0ok1DTcD&#10;Jm08gBs7TURiW7bXtEJIjGukPgKvwAVIkwY8Q/pGHLs/W8cNAnJhHZ/f73znOCeni6ZGcypVxVni&#10;BEe+gyjLOanYLHHeXGXu0EFKY0ZwzRlNnCVVzuno6ZOTVsS0x0teEyoRJGEqbkXilFqL2PNUXtIG&#10;qyMuKANjwWWDNVzlzCMSt5C9qb2e7w+8lksiJM+pUqBNN0ZnZPMXBc3166JQVKM6cQCbtqe059Sc&#10;3ugExzOJRVnlWxj4L1A0uGJQdJ8qxRqja1n9lqqpcskVL/RRzhuPF0WVU9sDdBP4j7q5LLGgthcg&#10;R4k9Ter/pc1fzS8kqgjMzkEMNzCi7vP6w3rVfe++rFdofdP97L51X7vb7kd3u/4I8t36E8jG2N1t&#10;1SsUGCZboWJIOGYX0nCRL9ilOOf5W4UYH5eYzajt6GopoIyN8A5CzEUJwDNtX3ICPvhac0vropCN&#10;SQmEoYWd3nI/PbrQKAdl4Pv9YQhDznc2D8e7QCGVfkF5g4yQOHXFDLE4xvNzpQE6uO5cjJrxrKpr&#10;uxw1O1CA40YDZSHU2AwAO+t3kR9NhpNh6Ia9wcQN/TR1n2fj0B1kwXE/fZaOx2nw3tQNwrisCKHM&#10;lNntXRD+2Vy3L2CzMfvN20P2DrPb3gDiI6RBL/TPepGbDYbHbpiFfTc69oeuH0Rn0cAPozDNDpGe&#10;A2X/jhS1iRP1e31LvuJ1RQwDBpuSs+m4lmiOzVO1n9kp4PvATfJrRuxgSorJZCtrXNUb+UH3BvF9&#10;95BoNzK7dWbRNis75WR5IU0ts4Dw0GzQ9qdgXvLDu/W6/3WNfgEAAP//AwBQSwMEFAAGAAgAAAAh&#10;ALmn64HdAAAACAEAAA8AAABkcnMvZG93bnJldi54bWxMj8FOwzAQRO9I/IO1SNyoU6pCmsapEAg4&#10;cGqLVHHbxtskNF5Htpukf48rDnDcmdHsm3w1mlb05HxjWcF0koAgLq1uuFLwuX29S0H4gKyxtUwK&#10;zuRhVVxf5ZhpO/Ca+k2oRCxhn6GCOoQuk9KXNRn0E9sRR+9gncEQT1dJ7XCI5aaV90nyIA02HD/U&#10;2NFzTeVxczIK/MtxZ7+/hve0X7gtfZx35ePbTKnbm/FpCSLQGP7CcMGP6FBEpr09sfaiVTBL5jEZ&#10;9fkUxMVP0wWI/a8gi1z+H1D8AAAA//8DAFBLAQItABQABgAIAAAAIQC2gziS/gAAAOEBAAATAAAA&#10;AAAAAAAAAAAAAAAAAABbQ29udGVudF9UeXBlc10ueG1sUEsBAi0AFAAGAAgAAAAhADj9If/WAAAA&#10;lAEAAAsAAAAAAAAAAAAAAAAALwEAAF9yZWxzLy5yZWxzUEsBAi0AFAAGAAgAAAAhABEVWBN/AgAA&#10;AgUAAA4AAAAAAAAAAAAAAAAALgIAAGRycy9lMm9Eb2MueG1sUEsBAi0AFAAGAAgAAAAhALmn64Hd&#10;AAAACAEAAA8AAAAAAAAAAAAAAAAA2QQAAGRycy9kb3ducmV2LnhtbFBLBQYAAAAABAAEAPMAAADj&#10;BQAAAAA=&#10;" o:allowincell="f" stroked="f"/>
                        </w:pict>
                      </mc:Fallback>
                    </mc:AlternateConten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Амангелді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Әулиекөл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Денисов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Жангелдин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Ж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ітіқара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Қамысты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Қарабалық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Қарасу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Қостанай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Мендіқара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ru-MO"/>
                    </w:rPr>
                    <w:t>Науырзым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Сарык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өл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Бейімбет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Майлин</w:t>
                  </w:r>
                  <w:proofErr w:type="spellEnd"/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kk-KZ"/>
                    </w:rPr>
                    <w:t>Ұзынкөл</w:t>
                  </w:r>
                </w:p>
              </w:tc>
            </w:tr>
            <w:tr w:rsidR="00D92111" w:rsidTr="00D92111">
              <w:tc>
                <w:tcPr>
                  <w:tcW w:w="25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92111" w:rsidRDefault="00D92111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Федоров</w:t>
                  </w:r>
                </w:p>
              </w:tc>
            </w:tr>
          </w:tbl>
          <w:p w:rsidR="00637B11" w:rsidRDefault="00637B11">
            <w:pPr>
              <w:spacing w:line="260" w:lineRule="exact"/>
              <w:ind w:left="96"/>
              <w:rPr>
                <w:sz w:val="26"/>
                <w:szCs w:val="26"/>
                <w:lang w:val="kk-KZ"/>
              </w:rPr>
            </w:pPr>
          </w:p>
        </w:tc>
        <w:tc>
          <w:tcPr>
            <w:tcW w:w="744" w:type="pct"/>
          </w:tcPr>
          <w:p w:rsidR="00637B11" w:rsidRDefault="00281CB8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2023ж. «02</w:t>
            </w:r>
            <w:r w:rsidR="00D92111">
              <w:rPr>
                <w:sz w:val="26"/>
                <w:szCs w:val="26"/>
                <w:lang w:val="kk-KZ"/>
              </w:rPr>
              <w:t>» қазан</w:t>
            </w:r>
            <w:r>
              <w:rPr>
                <w:sz w:val="26"/>
                <w:szCs w:val="26"/>
                <w:lang w:val="kk-KZ"/>
              </w:rPr>
              <w:t>нан</w:t>
            </w:r>
          </w:p>
          <w:p w:rsidR="00637B11" w:rsidRDefault="00281CB8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бастап  2023ж. «02» қарашаға</w:t>
            </w:r>
          </w:p>
          <w:p w:rsidR="00637B11" w:rsidRDefault="00D92111">
            <w:pPr>
              <w:ind w:left="57" w:right="57" w:firstLine="142"/>
              <w:jc w:val="center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дейін</w:t>
            </w:r>
          </w:p>
        </w:tc>
        <w:tc>
          <w:tcPr>
            <w:tcW w:w="927" w:type="pct"/>
            <w:hideMark/>
          </w:tcPr>
          <w:p w:rsidR="00637B11" w:rsidRDefault="00D92111">
            <w:pPr>
              <w:ind w:left="57"/>
              <w:rPr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Жоғары, техникалық және кәсіптік, </w:t>
            </w:r>
          </w:p>
          <w:p w:rsidR="00637B11" w:rsidRDefault="00D92111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>орта білімнен кейінгі, жалпы орта білім, жұмыс өтілі бойынша талаптарды қоюсыз</w:t>
            </w:r>
          </w:p>
        </w:tc>
        <w:tc>
          <w:tcPr>
            <w:tcW w:w="1751" w:type="pct"/>
            <w:hideMark/>
          </w:tcPr>
          <w:p w:rsidR="00637B11" w:rsidRDefault="00D92111">
            <w:pPr>
              <w:ind w:left="57"/>
              <w:rPr>
                <w:color w:val="FF0000"/>
                <w:sz w:val="26"/>
                <w:szCs w:val="26"/>
                <w:lang w:val="kk-KZ"/>
              </w:rPr>
            </w:pPr>
            <w:r>
              <w:rPr>
                <w:sz w:val="26"/>
                <w:szCs w:val="26"/>
                <w:lang w:val="kk-KZ"/>
              </w:rPr>
              <w:t xml:space="preserve">Респонденттерге жеке сұрау салу арқылы статистикалық байқау жүргізу; статистикалық нысанды жинау және толтыру мәселелері бойынша оқытудан өту. Алғашқы статистикалық  деректердің құпиялылығын қамтамасыз ету </w:t>
            </w:r>
          </w:p>
        </w:tc>
      </w:tr>
    </w:tbl>
    <w:p w:rsidR="00637B11" w:rsidRDefault="00637B11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37B11" w:rsidRDefault="00D92111">
      <w:pPr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Жеке құзыреттеріне қойылатын талаптар: </w:t>
      </w:r>
      <w:r>
        <w:rPr>
          <w:sz w:val="28"/>
          <w:szCs w:val="28"/>
          <w:lang w:val="kk-KZ"/>
        </w:rPr>
        <w:t>бөлшектерге ықыласты болу, нормативтілік, сыпайылық, ықпал ету, жауапкершілік, нәтижеге бағдарлану, ауызша және жазбаша коммуникация, этикалық нормаларын ұстану.</w:t>
      </w:r>
    </w:p>
    <w:p w:rsidR="00637B11" w:rsidRDefault="00D92111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Үміткер қоса берілген нысанға сәйкес толтырылған өтінімді, сондай-ақ білім туралы құжаттың көшірмесін ауданның (қаланың) статистика басқармасына ұсынуы немесе электрондық поштаға жіберуі қажет </w:t>
      </w:r>
      <w:r w:rsidRPr="00630E23">
        <w:rPr>
          <w:b/>
          <w:sz w:val="28"/>
          <w:szCs w:val="28"/>
          <w:lang w:val="kk-KZ"/>
        </w:rPr>
        <w:lastRenderedPageBreak/>
        <w:fldChar w:fldCharType="begin"/>
      </w:r>
      <w:r w:rsidRPr="00630E23">
        <w:rPr>
          <w:b/>
          <w:sz w:val="28"/>
          <w:szCs w:val="28"/>
          <w:lang w:val="kk-KZ"/>
        </w:rPr>
        <w:instrText xml:space="preserve"> HYPERLINK "mailto:dstat_kst@mail.ru" </w:instrText>
      </w:r>
      <w:r w:rsidRPr="00630E23">
        <w:rPr>
          <w:b/>
          <w:sz w:val="28"/>
          <w:szCs w:val="28"/>
          <w:lang w:val="kk-KZ"/>
        </w:rPr>
        <w:fldChar w:fldCharType="separate"/>
      </w:r>
      <w:r w:rsidRPr="00630E23">
        <w:rPr>
          <w:rStyle w:val="a5"/>
          <w:b/>
          <w:color w:val="auto"/>
          <w:sz w:val="28"/>
          <w:szCs w:val="28"/>
          <w:u w:val="none"/>
          <w:lang w:val="kk-KZ"/>
        </w:rPr>
        <w:t>dstat_kst@mail.ru</w:t>
      </w:r>
      <w:r w:rsidRPr="00630E23">
        <w:rPr>
          <w:b/>
          <w:sz w:val="28"/>
          <w:szCs w:val="28"/>
          <w:lang w:val="kk-KZ"/>
        </w:rPr>
        <w:fldChar w:fldCharType="end"/>
      </w:r>
      <w:r>
        <w:rPr>
          <w:b/>
          <w:sz w:val="28"/>
          <w:szCs w:val="28"/>
          <w:lang w:val="kk-KZ"/>
        </w:rPr>
        <w:t xml:space="preserve"> Қазақстан Республикасының Стратегиялық жоспарлау және реформалар агенттігі Ұлттық статистика бюросының Қостанай облысы бойынша департаменті (Қостанай қ., Майлин көш., 2/4, каб. </w:t>
      </w:r>
      <w:r w:rsidR="00FF1820">
        <w:rPr>
          <w:b/>
          <w:sz w:val="28"/>
          <w:szCs w:val="28"/>
          <w:lang w:val="en-US"/>
        </w:rPr>
        <w:t>210</w:t>
      </w:r>
      <w:bookmarkStart w:id="0" w:name="_GoBack"/>
      <w:bookmarkEnd w:id="0"/>
      <w:r>
        <w:rPr>
          <w:b/>
          <w:sz w:val="28"/>
          <w:szCs w:val="28"/>
          <w:lang w:val="kk-KZ"/>
        </w:rPr>
        <w:t>).</w:t>
      </w:r>
    </w:p>
    <w:p w:rsidR="00637B11" w:rsidRDefault="00637B11">
      <w:pPr>
        <w:ind w:left="567" w:firstLine="142"/>
        <w:jc w:val="both"/>
        <w:outlineLvl w:val="2"/>
        <w:rPr>
          <w:b/>
          <w:bCs/>
          <w:sz w:val="28"/>
          <w:szCs w:val="28"/>
          <w:lang w:val="kk-KZ"/>
        </w:rPr>
      </w:pPr>
    </w:p>
    <w:p w:rsidR="00637B11" w:rsidRDefault="00D92111">
      <w:pPr>
        <w:ind w:left="567" w:firstLine="142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Өтінімдерді қабылдаудың соңғы мерзімі </w:t>
      </w:r>
      <w:r>
        <w:rPr>
          <w:b/>
          <w:sz w:val="28"/>
          <w:szCs w:val="28"/>
          <w:u w:val="single"/>
          <w:lang w:val="kk-KZ"/>
        </w:rPr>
        <w:t>2023 жылғы</w:t>
      </w:r>
      <w:r>
        <w:rPr>
          <w:b/>
          <w:sz w:val="28"/>
          <w:szCs w:val="28"/>
          <w:lang w:val="kk-KZ"/>
        </w:rPr>
        <w:t xml:space="preserve"> «</w:t>
      </w:r>
      <w:r w:rsidR="00C7566A">
        <w:rPr>
          <w:b/>
          <w:sz w:val="28"/>
          <w:szCs w:val="28"/>
          <w:u w:val="single"/>
          <w:lang w:val="kk-KZ"/>
        </w:rPr>
        <w:t>02</w:t>
      </w:r>
      <w:r>
        <w:rPr>
          <w:b/>
          <w:sz w:val="28"/>
          <w:szCs w:val="28"/>
          <w:lang w:val="kk-KZ"/>
        </w:rPr>
        <w:t xml:space="preserve">» </w:t>
      </w:r>
      <w:r w:rsidR="00C7566A">
        <w:rPr>
          <w:b/>
          <w:sz w:val="28"/>
          <w:szCs w:val="28"/>
          <w:u w:val="single"/>
          <w:lang w:val="kk-KZ"/>
        </w:rPr>
        <w:t>қазан</w:t>
      </w:r>
    </w:p>
    <w:p w:rsidR="00637B11" w:rsidRDefault="00D92111">
      <w:pPr>
        <w:ind w:firstLine="709"/>
        <w:jc w:val="both"/>
        <w:outlineLvl w:val="2"/>
        <w:rPr>
          <w:lang w:val="kk-KZ"/>
        </w:rPr>
      </w:pPr>
      <w:r>
        <w:rPr>
          <w:b/>
          <w:sz w:val="28"/>
          <w:szCs w:val="28"/>
          <w:lang w:val="kk-KZ"/>
        </w:rPr>
        <w:t xml:space="preserve">Байланыс телефоны:+7 7142 </w:t>
      </w:r>
      <w:r>
        <w:rPr>
          <w:b/>
          <w:bCs/>
          <w:sz w:val="28"/>
          <w:szCs w:val="28"/>
          <w:lang w:val="kk-KZ"/>
        </w:rPr>
        <w:t xml:space="preserve">53 </w:t>
      </w:r>
      <w:r w:rsidR="00F0705C">
        <w:rPr>
          <w:b/>
          <w:bCs/>
          <w:sz w:val="28"/>
          <w:szCs w:val="28"/>
          <w:lang w:val="en-US"/>
        </w:rPr>
        <w:t>54</w:t>
      </w:r>
      <w:r w:rsidR="00F0705C">
        <w:rPr>
          <w:b/>
          <w:bCs/>
          <w:sz w:val="28"/>
          <w:szCs w:val="28"/>
          <w:lang w:val="kk-KZ"/>
        </w:rPr>
        <w:t xml:space="preserve"> </w:t>
      </w:r>
      <w:r w:rsidR="00F0705C">
        <w:rPr>
          <w:b/>
          <w:bCs/>
          <w:sz w:val="28"/>
          <w:szCs w:val="28"/>
          <w:lang w:val="en-US"/>
        </w:rPr>
        <w:t>64</w:t>
      </w:r>
      <w:r>
        <w:rPr>
          <w:b/>
          <w:bCs/>
          <w:sz w:val="28"/>
          <w:szCs w:val="28"/>
          <w:lang w:val="kk-KZ"/>
        </w:rPr>
        <w:t>,</w:t>
      </w:r>
      <w:r>
        <w:rPr>
          <w:b/>
          <w:sz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+7 714</w:t>
      </w:r>
      <w:r w:rsidR="00FF1820">
        <w:rPr>
          <w:b/>
          <w:bCs/>
          <w:sz w:val="28"/>
          <w:szCs w:val="28"/>
          <w:lang w:val="en-US"/>
        </w:rPr>
        <w:t>2 53 49 96</w:t>
      </w:r>
      <w:r>
        <w:rPr>
          <w:b/>
          <w:bCs/>
          <w:sz w:val="28"/>
          <w:szCs w:val="28"/>
          <w:lang w:val="kk-KZ"/>
        </w:rPr>
        <w:t>.</w:t>
      </w:r>
    </w:p>
    <w:p w:rsidR="00637B11" w:rsidRDefault="00637B11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37B11" w:rsidRDefault="00637B11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37B11" w:rsidRDefault="00637B11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C7566A" w:rsidRDefault="00C7566A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</w:p>
    <w:p w:rsidR="00637B11" w:rsidRDefault="00D92111">
      <w:pPr>
        <w:tabs>
          <w:tab w:val="right" w:pos="10917"/>
        </w:tabs>
        <w:ind w:left="4820" w:right="-143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lastRenderedPageBreak/>
        <w:t>«Қазақстан Республикасының Стратегиялық жоспарлау және реформалар агенттігі Ұлттық статистика бюросының Қостанай облысы бойынша департаменті» РММ</w:t>
      </w:r>
    </w:p>
    <w:p w:rsidR="00637B11" w:rsidRDefault="00D92111">
      <w:pPr>
        <w:tabs>
          <w:tab w:val="right" w:pos="10917"/>
        </w:tabs>
        <w:ind w:left="4820" w:right="-143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басшысының</w:t>
      </w:r>
    </w:p>
    <w:p w:rsidR="00637B11" w:rsidRDefault="00D92111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2022 жылғы 14 қазандағы №63-нқ</w:t>
      </w:r>
    </w:p>
    <w:p w:rsidR="00637B11" w:rsidRDefault="00D92111">
      <w:pPr>
        <w:ind w:left="4820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бұйрығына 2 – қосымша</w:t>
      </w:r>
    </w:p>
    <w:p w:rsidR="00637B11" w:rsidRDefault="00637B11">
      <w:pPr>
        <w:tabs>
          <w:tab w:val="left" w:pos="9540"/>
          <w:tab w:val="right" w:pos="10917"/>
        </w:tabs>
        <w:ind w:left="5245" w:right="23"/>
        <w:rPr>
          <w:sz w:val="28"/>
          <w:szCs w:val="28"/>
          <w:lang w:val="kk-KZ"/>
        </w:rPr>
      </w:pPr>
    </w:p>
    <w:p w:rsidR="00637B11" w:rsidRDefault="00C7566A">
      <w:pPr>
        <w:ind w:left="8080" w:firstLine="4"/>
        <w:jc w:val="right"/>
        <w:outlineLvl w:val="2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Нысаны</w:t>
      </w:r>
    </w:p>
    <w:p w:rsidR="00637B11" w:rsidRDefault="00D92111">
      <w:pPr>
        <w:jc w:val="both"/>
        <w:rPr>
          <w:b/>
          <w:bCs/>
          <w:sz w:val="27"/>
          <w:szCs w:val="27"/>
          <w:lang w:val="kk-KZ"/>
        </w:rPr>
      </w:pPr>
      <w:r>
        <w:rPr>
          <w:b/>
          <w:bCs/>
          <w:sz w:val="27"/>
          <w:szCs w:val="27"/>
          <w:lang w:val="kk-KZ"/>
        </w:rPr>
        <w:t>_____________________________________________________________________</w:t>
      </w:r>
    </w:p>
    <w:p w:rsidR="00637B11" w:rsidRDefault="00D9211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статистикалық байқауы бойынша ақылы қызмет көрсету шарттары бойынша интервьюердің бос орнына орналасуға ниет білдірген тұлғалардан өтінім</w:t>
      </w:r>
    </w:p>
    <w:p w:rsidR="00637B11" w:rsidRDefault="00637B11">
      <w:pPr>
        <w:jc w:val="both"/>
        <w:rPr>
          <w:sz w:val="28"/>
          <w:szCs w:val="28"/>
          <w:lang w:val="kk-KZ"/>
        </w:rPr>
      </w:pPr>
    </w:p>
    <w:p w:rsidR="00637B11" w:rsidRDefault="00637B11">
      <w:pPr>
        <w:jc w:val="both"/>
        <w:rPr>
          <w:b/>
          <w:bCs/>
          <w:sz w:val="27"/>
          <w:szCs w:val="27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4911"/>
      </w:tblGrid>
      <w:tr w:rsidR="00637B11" w:rsidRPr="00F0705C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Бос жұмыс орындарының атауы (қызмет көрсету аумағын көрсете отырып) </w:t>
            </w:r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 w:rsidRPr="00F0705C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Тегі, аты, әкесінің аты (болған кезде)</w:t>
            </w:r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Туған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кү</w:t>
            </w:r>
            <w:proofErr w:type="gramStart"/>
            <w:r>
              <w:rPr>
                <w:sz w:val="28"/>
                <w:szCs w:val="28"/>
              </w:rPr>
              <w:t>н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ім</w:t>
            </w:r>
            <w:proofErr w:type="spellEnd"/>
            <w:r>
              <w:rPr>
                <w:sz w:val="28"/>
                <w:szCs w:val="28"/>
              </w:rPr>
              <w:t xml:space="preserve"> беру</w:t>
            </w:r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Тұратын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мекен-жайы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Байланыс</w:t>
            </w:r>
            <w:proofErr w:type="spellEnd"/>
            <w:r>
              <w:rPr>
                <w:sz w:val="28"/>
                <w:szCs w:val="28"/>
              </w:rPr>
              <w:t xml:space="preserve"> телефоны</w:t>
            </w:r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  <w:tr w:rsidR="00637B11">
        <w:tc>
          <w:tcPr>
            <w:tcW w:w="5103" w:type="dxa"/>
            <w:shd w:val="clear" w:color="auto" w:fill="auto"/>
          </w:tcPr>
          <w:p w:rsidR="00637B11" w:rsidRDefault="00D9211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Қ</w:t>
            </w:r>
            <w:proofErr w:type="gramStart"/>
            <w:r>
              <w:rPr>
                <w:sz w:val="28"/>
                <w:szCs w:val="28"/>
              </w:rPr>
              <w:t>осымша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ақпарат</w:t>
            </w:r>
            <w:proofErr w:type="spellEnd"/>
            <w:r>
              <w:rPr>
                <w:sz w:val="28"/>
                <w:szCs w:val="28"/>
              </w:rPr>
              <w:t xml:space="preserve"> (статистика </w:t>
            </w:r>
            <w:proofErr w:type="spellStart"/>
            <w:r>
              <w:rPr>
                <w:sz w:val="28"/>
                <w:szCs w:val="28"/>
              </w:rPr>
              <w:t>органдары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жүргізетін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зерттеуге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қатысу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637B11" w:rsidRDefault="00637B11">
            <w:pPr>
              <w:jc w:val="center"/>
              <w:rPr>
                <w:b/>
                <w:sz w:val="28"/>
                <w:szCs w:val="28"/>
                <w:lang w:val="kk-KZ"/>
              </w:rPr>
            </w:pPr>
          </w:p>
        </w:tc>
      </w:tr>
    </w:tbl>
    <w:p w:rsidR="00637B11" w:rsidRDefault="00637B11">
      <w:pPr>
        <w:jc w:val="center"/>
        <w:rPr>
          <w:b/>
          <w:sz w:val="28"/>
          <w:szCs w:val="28"/>
          <w:lang w:val="kk-KZ"/>
        </w:rPr>
      </w:pPr>
    </w:p>
    <w:p w:rsidR="00637B11" w:rsidRDefault="00D921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Өтінім берілген күн: 20___ жылғы «___»________</w:t>
      </w:r>
    </w:p>
    <w:p w:rsidR="00637B11" w:rsidRDefault="00637B11">
      <w:pPr>
        <w:rPr>
          <w:sz w:val="28"/>
          <w:szCs w:val="28"/>
          <w:lang w:val="kk-KZ"/>
        </w:rPr>
      </w:pPr>
    </w:p>
    <w:p w:rsidR="00637B11" w:rsidRDefault="00D9211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Өтініш берушінің қолы:_________________</w:t>
      </w:r>
    </w:p>
    <w:p w:rsidR="00637B11" w:rsidRDefault="00637B11">
      <w:pPr>
        <w:jc w:val="both"/>
        <w:rPr>
          <w:sz w:val="28"/>
          <w:szCs w:val="28"/>
          <w:lang w:val="kk-KZ"/>
        </w:rPr>
      </w:pPr>
    </w:p>
    <w:p w:rsidR="00637B11" w:rsidRDefault="00637B11">
      <w:pPr>
        <w:rPr>
          <w:sz w:val="28"/>
          <w:szCs w:val="28"/>
          <w:lang w:val="kk-KZ"/>
        </w:rPr>
      </w:pPr>
    </w:p>
    <w:sectPr w:rsidR="00637B11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B11"/>
    <w:rsid w:val="00281CB8"/>
    <w:rsid w:val="00630E23"/>
    <w:rsid w:val="00637B11"/>
    <w:rsid w:val="00C7566A"/>
    <w:rsid w:val="00D92111"/>
    <w:rsid w:val="00F0705C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6">
    <w:name w:val="Боковик"/>
    <w:basedOn w:val="a"/>
    <w:rsid w:val="00D92111"/>
    <w:rPr>
      <w:rFonts w:ascii="KZ Arial" w:hAnsi="KZ Arial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autoRedefine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a6">
    <w:name w:val="Боковик"/>
    <w:basedOn w:val="a"/>
    <w:rsid w:val="00D92111"/>
    <w:rPr>
      <w:rFonts w:ascii="KZ Arial" w:hAnsi="KZ Arial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Айсулу Хасенова-Рыжакова</dc:creator>
  <cp:lastModifiedBy>Елена Ткаченко</cp:lastModifiedBy>
  <cp:revision>51</cp:revision>
  <cp:lastPrinted>2023-09-29T11:52:00Z</cp:lastPrinted>
  <dcterms:created xsi:type="dcterms:W3CDTF">2019-06-13T06:43:00Z</dcterms:created>
  <dcterms:modified xsi:type="dcterms:W3CDTF">2023-09-29T11:53:00Z</dcterms:modified>
</cp:coreProperties>
</file>